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E72" w14:textId="31F100B2" w:rsidR="0031256E" w:rsidRPr="00457F63" w:rsidRDefault="00C877A3" w:rsidP="00457F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</w:rPr>
      </w:pPr>
      <w:r w:rsidRPr="00457F63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</w:rPr>
        <w:t>Adult Foster Care</w:t>
      </w:r>
    </w:p>
    <w:p w14:paraId="24E4CC1D" w14:textId="77777777" w:rsidR="00C877A3" w:rsidRPr="00457F63" w:rsidRDefault="00C877A3" w:rsidP="00457F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</w:rPr>
      </w:pPr>
      <w:r w:rsidRPr="00457F63">
        <w:rPr>
          <w:rFonts w:ascii="Times New Roman" w:eastAsia="Times New Roman" w:hAnsi="Times New Roman" w:cs="Times New Roman"/>
          <w:b/>
          <w:sz w:val="40"/>
          <w:szCs w:val="40"/>
          <w:bdr w:val="none" w:sz="0" w:space="0" w:color="auto" w:frame="1"/>
        </w:rPr>
        <w:t>Frequently Asked Questions</w:t>
      </w:r>
    </w:p>
    <w:p w14:paraId="7877400F" w14:textId="77777777" w:rsidR="0075271E" w:rsidRPr="00457F63" w:rsidRDefault="0075271E" w:rsidP="00C877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14:paraId="11E18340" w14:textId="77777777" w:rsidR="00C877A3" w:rsidRPr="00457F63" w:rsidRDefault="00C877A3" w:rsidP="00C877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374F536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What is Adult Foster Care?</w:t>
      </w:r>
    </w:p>
    <w:p w14:paraId="08EFCC9F" w14:textId="77777777" w:rsidR="00C877A3" w:rsidRPr="00457F63" w:rsidRDefault="00C877A3" w:rsidP="00C877A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Adult Foster Care is defined as a home setting in the community for adults who are unable to live independently due to physical, emotional, developmental or mental health impairments. The home can provide up to </w:t>
      </w:r>
      <w:proofErr w:type="gramStart"/>
      <w:r w:rsidRPr="00457F63">
        <w:rPr>
          <w:rFonts w:ascii="Times New Roman" w:eastAsia="Times New Roman" w:hAnsi="Times New Roman" w:cs="Times New Roman"/>
          <w:sz w:val="24"/>
          <w:szCs w:val="24"/>
        </w:rPr>
        <w:t>24 hour</w:t>
      </w:r>
      <w:proofErr w:type="gramEnd"/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supervision for 1 to 4 residents. (5 if caring for elderly residents).</w:t>
      </w:r>
      <w:r w:rsidR="007324DF" w:rsidRPr="00457F63">
        <w:rPr>
          <w:rFonts w:ascii="Times New Roman" w:eastAsia="Times New Roman" w:hAnsi="Times New Roman" w:cs="Times New Roman"/>
          <w:sz w:val="24"/>
          <w:szCs w:val="24"/>
        </w:rPr>
        <w:t xml:space="preserve">  There must be a caregiver present during normal sleeping hours. 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Residents receive meals, support, supervision and some assistance with personal care and living skills as needed. Adult Foster Care homes are licensed by the State of Minnesota under </w:t>
      </w:r>
      <w:hyperlink r:id="rId7" w:history="1">
        <w:r w:rsidRPr="00457F6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Rule 203</w:t>
        </w:r>
      </w:hyperlink>
      <w:r w:rsidR="0063125A" w:rsidRPr="00457F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>and </w:t>
      </w:r>
      <w:hyperlink r:id="rId8" w:history="1">
        <w:r w:rsidR="0063125A" w:rsidRPr="00457F6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</w:rPr>
          <w:t>Statute 245A</w:t>
        </w:r>
      </w:hyperlink>
      <w:r w:rsidRPr="00457F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89A57C" w14:textId="77777777" w:rsidR="00980505" w:rsidRPr="00457F63" w:rsidRDefault="00980505" w:rsidP="00C877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9E68F4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What types of Adult Foster Care are there?</w:t>
      </w:r>
    </w:p>
    <w:p w14:paraId="492D297D" w14:textId="77777777" w:rsidR="00C877A3" w:rsidRPr="00457F63" w:rsidRDefault="0063125A" w:rsidP="00C877A3">
      <w:pPr>
        <w:shd w:val="clear" w:color="auto" w:fill="FFFFFF"/>
        <w:spacing w:before="40" w:after="0" w:line="240" w:lineRule="auto"/>
        <w:ind w:left="72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</w:rPr>
        <w:t>Family</w:t>
      </w:r>
    </w:p>
    <w:p w14:paraId="649D79DF" w14:textId="77777777" w:rsidR="00C877A3" w:rsidRPr="00457F63" w:rsidRDefault="00C877A3" w:rsidP="00C877A3">
      <w:pPr>
        <w:numPr>
          <w:ilvl w:val="0"/>
          <w:numId w:val="1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The foster care provider lives in the residence and is the primary caregiver to clients in the home.</w:t>
      </w:r>
    </w:p>
    <w:p w14:paraId="08595B92" w14:textId="77777777" w:rsidR="00C877A3" w:rsidRPr="00457F63" w:rsidRDefault="00C877A3" w:rsidP="00C877A3">
      <w:pPr>
        <w:shd w:val="clear" w:color="auto" w:fill="FFFFFF"/>
        <w:spacing w:before="40" w:after="0" w:line="240" w:lineRule="auto"/>
        <w:ind w:left="72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</w:rPr>
        <w:t>Corporate</w:t>
      </w:r>
    </w:p>
    <w:p w14:paraId="671AB7AB" w14:textId="77777777" w:rsidR="00C877A3" w:rsidRPr="00457F63" w:rsidRDefault="00C877A3" w:rsidP="00C877A3">
      <w:pPr>
        <w:numPr>
          <w:ilvl w:val="0"/>
          <w:numId w:val="2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The foster care home is operated by an individual or corporation, usually with shift staff delivering services to the residents. With corporate care, the license holder does not live at t</w:t>
      </w:r>
      <w:r w:rsidR="00184901" w:rsidRPr="00457F63">
        <w:rPr>
          <w:rFonts w:ascii="Times New Roman" w:eastAsia="Times New Roman" w:hAnsi="Times New Roman" w:cs="Times New Roman"/>
          <w:sz w:val="24"/>
          <w:szCs w:val="24"/>
        </w:rPr>
        <w:t>he adult foster care residence.</w:t>
      </w:r>
      <w:r w:rsidR="007324DF" w:rsidRPr="00457F63">
        <w:rPr>
          <w:rFonts w:ascii="Times New Roman" w:eastAsia="Times New Roman" w:hAnsi="Times New Roman" w:cs="Times New Roman"/>
          <w:sz w:val="24"/>
          <w:szCs w:val="24"/>
        </w:rPr>
        <w:t xml:space="preserve">  There is a moratorium (ban) on the development of new corporate homes.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050DD7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What are the licensing requirements for Adult Foster Care?</w:t>
      </w:r>
    </w:p>
    <w:p w14:paraId="67F0A81A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The applicant must meet the minimum licensing standards that include:</w:t>
      </w:r>
    </w:p>
    <w:p w14:paraId="166DD3BA" w14:textId="77777777" w:rsidR="00C877A3" w:rsidRPr="00457F63" w:rsidRDefault="00C877A3" w:rsidP="00C877A3">
      <w:pPr>
        <w:numPr>
          <w:ilvl w:val="0"/>
          <w:numId w:val="3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All household members 13 years old and over must pass a criminal and social service background check</w:t>
      </w:r>
    </w:p>
    <w:p w14:paraId="0E6037BA" w14:textId="77777777" w:rsidR="00C877A3" w:rsidRPr="00457F63" w:rsidRDefault="00C877A3" w:rsidP="00C877A3">
      <w:pPr>
        <w:numPr>
          <w:ilvl w:val="0"/>
          <w:numId w:val="3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Complete a home study with the licensor</w:t>
      </w:r>
    </w:p>
    <w:p w14:paraId="1C46940B" w14:textId="77777777" w:rsidR="00C877A3" w:rsidRPr="00457F63" w:rsidRDefault="00C877A3" w:rsidP="00C877A3">
      <w:pPr>
        <w:numPr>
          <w:ilvl w:val="0"/>
          <w:numId w:val="3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Have bedroom space for each resident</w:t>
      </w:r>
    </w:p>
    <w:p w14:paraId="5AAA29AF" w14:textId="77777777" w:rsidR="00C877A3" w:rsidRPr="00457F63" w:rsidRDefault="0063125A" w:rsidP="00C877A3">
      <w:pPr>
        <w:numPr>
          <w:ilvl w:val="0"/>
          <w:numId w:val="3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The home must meet fire code by passing a Fire Marshal inspection</w:t>
      </w:r>
    </w:p>
    <w:p w14:paraId="4D0E078C" w14:textId="77777777" w:rsidR="00C877A3" w:rsidRPr="00457F63" w:rsidRDefault="00C877A3" w:rsidP="00C877A3">
      <w:pPr>
        <w:numPr>
          <w:ilvl w:val="0"/>
          <w:numId w:val="3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Meet annual training requirements</w:t>
      </w:r>
    </w:p>
    <w:p w14:paraId="2E44720F" w14:textId="77777777" w:rsidR="00C877A3" w:rsidRPr="00457F63" w:rsidRDefault="00C877A3" w:rsidP="00C877A3">
      <w:pPr>
        <w:numPr>
          <w:ilvl w:val="0"/>
          <w:numId w:val="3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Must be at least 18 years of age</w:t>
      </w:r>
    </w:p>
    <w:p w14:paraId="12D86804" w14:textId="77777777" w:rsidR="00C877A3" w:rsidRPr="00457F63" w:rsidRDefault="00C877A3" w:rsidP="00C877A3">
      <w:pPr>
        <w:numPr>
          <w:ilvl w:val="0"/>
          <w:numId w:val="3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Provide 3 positive references from non-relatives</w:t>
      </w:r>
    </w:p>
    <w:p w14:paraId="131B2EA2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D8B3C7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What is the application process?</w:t>
      </w:r>
    </w:p>
    <w:p w14:paraId="5875923D" w14:textId="77777777" w:rsidR="0063125A" w:rsidRPr="00457F63" w:rsidRDefault="00C877A3" w:rsidP="0063125A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If you have decided to provide traditional Adult Foster Care:</w:t>
      </w:r>
    </w:p>
    <w:p w14:paraId="317809CC" w14:textId="77777777" w:rsidR="0063125A" w:rsidRPr="00457F63" w:rsidRDefault="0063125A" w:rsidP="0063125A">
      <w:pPr>
        <w:numPr>
          <w:ilvl w:val="0"/>
          <w:numId w:val="4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Contact the Licensing worker for the appropriate county</w:t>
      </w:r>
    </w:p>
    <w:p w14:paraId="651CB691" w14:textId="77777777" w:rsidR="0063125A" w:rsidRPr="00457F63" w:rsidRDefault="0063125A" w:rsidP="0063125A">
      <w:pPr>
        <w:numPr>
          <w:ilvl w:val="0"/>
          <w:numId w:val="4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Schedule licensing orientation either in your home or in a group session depending on the county process</w:t>
      </w:r>
    </w:p>
    <w:p w14:paraId="1994C241" w14:textId="77777777" w:rsidR="0063125A" w:rsidRPr="00457F63" w:rsidRDefault="0063125A" w:rsidP="0063125A">
      <w:pPr>
        <w:numPr>
          <w:ilvl w:val="0"/>
          <w:numId w:val="4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Complete the initial licensing packet</w:t>
      </w:r>
    </w:p>
    <w:p w14:paraId="7AECE877" w14:textId="77777777" w:rsidR="0063125A" w:rsidRPr="00457F63" w:rsidRDefault="0063125A" w:rsidP="0063125A">
      <w:pPr>
        <w:numPr>
          <w:ilvl w:val="0"/>
          <w:numId w:val="4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Schedule and complete a Fire Marshal inspection</w:t>
      </w:r>
    </w:p>
    <w:p w14:paraId="6D9F078D" w14:textId="77777777" w:rsidR="00C877A3" w:rsidRPr="00457F63" w:rsidRDefault="00C877A3" w:rsidP="00C877A3">
      <w:pPr>
        <w:numPr>
          <w:ilvl w:val="0"/>
          <w:numId w:val="4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1 to 2 home visits</w:t>
      </w:r>
      <w:r w:rsidR="0063125A" w:rsidRPr="00457F63">
        <w:rPr>
          <w:rFonts w:ascii="Times New Roman" w:eastAsia="Times New Roman" w:hAnsi="Times New Roman" w:cs="Times New Roman"/>
          <w:sz w:val="24"/>
          <w:szCs w:val="24"/>
        </w:rPr>
        <w:t xml:space="preserve"> occur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to complete the licensing process</w:t>
      </w:r>
    </w:p>
    <w:p w14:paraId="08F1A2D6" w14:textId="77777777" w:rsidR="00C877A3" w:rsidRPr="00457F63" w:rsidRDefault="0063125A" w:rsidP="0063125A">
      <w:pPr>
        <w:numPr>
          <w:ilvl w:val="0"/>
          <w:numId w:val="4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lastRenderedPageBreak/>
        <w:t>A recommendation is made to the Department of Human Services (</w:t>
      </w:r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>DHS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>) and DHS</w:t>
      </w:r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 xml:space="preserve"> makes the final licensing decision</w:t>
      </w:r>
    </w:p>
    <w:p w14:paraId="3900B3E6" w14:textId="77777777" w:rsidR="00C877A3" w:rsidRPr="00457F63" w:rsidRDefault="00C877A3" w:rsidP="0075271E">
      <w:pPr>
        <w:numPr>
          <w:ilvl w:val="0"/>
          <w:numId w:val="4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The application proces</w:t>
      </w:r>
      <w:r w:rsidR="0063125A" w:rsidRPr="00457F63">
        <w:rPr>
          <w:rFonts w:ascii="Times New Roman" w:eastAsia="Times New Roman" w:hAnsi="Times New Roman" w:cs="Times New Roman"/>
          <w:sz w:val="24"/>
          <w:szCs w:val="24"/>
        </w:rPr>
        <w:t>s generally takes 3 to 4 months</w:t>
      </w:r>
    </w:p>
    <w:p w14:paraId="6B025552" w14:textId="77777777" w:rsidR="0075271E" w:rsidRPr="00457F63" w:rsidRDefault="0075271E" w:rsidP="0075271E">
      <w:p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39011AA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How are providers paid?</w:t>
      </w:r>
    </w:p>
    <w:p w14:paraId="59028FBB" w14:textId="77777777" w:rsidR="00C877A3" w:rsidRPr="00457F63" w:rsidRDefault="0050531D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Adult Foster Care</w:t>
      </w:r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 xml:space="preserve"> providers receive a monthly minimum room and board payment set by the State. A Difficulty of Care (DOC) rating may be set based on the required level of care. The payment is usually a combination of the </w:t>
      </w:r>
      <w:proofErr w:type="gramStart"/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>client's</w:t>
      </w:r>
      <w:proofErr w:type="gramEnd"/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>: </w:t>
      </w:r>
    </w:p>
    <w:p w14:paraId="5250E521" w14:textId="77777777" w:rsidR="00C877A3" w:rsidRPr="00457F63" w:rsidRDefault="00C877A3" w:rsidP="00C877A3">
      <w:pPr>
        <w:numPr>
          <w:ilvl w:val="0"/>
          <w:numId w:val="5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Group Residential Housing (GRH) funds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6EDC" w:rsidRPr="00457F63">
        <w:rPr>
          <w:rFonts w:ascii="Times New Roman" w:eastAsia="Times New Roman" w:hAnsi="Times New Roman" w:cs="Times New Roman"/>
          <w:sz w:val="24"/>
          <w:szCs w:val="24"/>
        </w:rPr>
        <w:t>[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July 2018 rate increase to $904-$1,386</w:t>
      </w:r>
      <w:r w:rsidR="00FD6EDC" w:rsidRPr="00457F63">
        <w:rPr>
          <w:rFonts w:ascii="Times New Roman" w:eastAsia="Times New Roman" w:hAnsi="Times New Roman" w:cs="Times New Roman"/>
          <w:sz w:val="24"/>
          <w:szCs w:val="24"/>
        </w:rPr>
        <w:t>/mo]</w:t>
      </w:r>
    </w:p>
    <w:p w14:paraId="047307EC" w14:textId="77777777" w:rsidR="00C877A3" w:rsidRPr="00457F63" w:rsidRDefault="00C877A3" w:rsidP="00C877A3">
      <w:pPr>
        <w:numPr>
          <w:ilvl w:val="0"/>
          <w:numId w:val="5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Pension</w:t>
      </w:r>
    </w:p>
    <w:p w14:paraId="4C038F8C" w14:textId="77777777" w:rsidR="00C877A3" w:rsidRPr="00457F63" w:rsidRDefault="00C877A3" w:rsidP="00C877A3">
      <w:pPr>
        <w:numPr>
          <w:ilvl w:val="0"/>
          <w:numId w:val="5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Social Security Disability</w:t>
      </w:r>
    </w:p>
    <w:p w14:paraId="3FA6CB25" w14:textId="77777777" w:rsidR="00C877A3" w:rsidRPr="00457F63" w:rsidRDefault="00C877A3" w:rsidP="00C877A3">
      <w:pPr>
        <w:numPr>
          <w:ilvl w:val="0"/>
          <w:numId w:val="5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Social Security income</w:t>
      </w:r>
    </w:p>
    <w:p w14:paraId="7CCC29BF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Residents who have the financial resources to pay can negotiate a fee with the provider.</w:t>
      </w:r>
    </w:p>
    <w:p w14:paraId="3F6A8663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4B2637F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What kind of clients will I get?</w:t>
      </w:r>
    </w:p>
    <w:p w14:paraId="7A9FEFAD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The licensing unit cannot gua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rantee that you will get individuals placed in your home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how often placement occurs.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You must market your home and be flexible in the type of clients you are willing to </w:t>
      </w:r>
      <w:proofErr w:type="gramStart"/>
      <w:r w:rsidRPr="00457F63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gramEnd"/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. You decide what type of clients you take. </w:t>
      </w:r>
    </w:p>
    <w:p w14:paraId="64BAB974" w14:textId="77777777" w:rsidR="00184901" w:rsidRPr="00457F63" w:rsidRDefault="00184901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698FD9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What is the role of the licensor?</w:t>
      </w:r>
    </w:p>
    <w:p w14:paraId="6EC06992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The licensor ensures that all aspects of state and county licensing mandates and policies are followed: </w:t>
      </w:r>
    </w:p>
    <w:p w14:paraId="669EFBE6" w14:textId="77777777" w:rsidR="0031256E" w:rsidRPr="00457F63" w:rsidRDefault="00C877A3" w:rsidP="00C877A3">
      <w:pPr>
        <w:numPr>
          <w:ilvl w:val="0"/>
          <w:numId w:val="6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Encour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ages attendance at training</w:t>
      </w:r>
    </w:p>
    <w:p w14:paraId="7C329C1D" w14:textId="77777777" w:rsidR="00C877A3" w:rsidRPr="00457F63" w:rsidRDefault="0031256E" w:rsidP="00C877A3">
      <w:pPr>
        <w:numPr>
          <w:ilvl w:val="0"/>
          <w:numId w:val="6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>upports the provider's role of providing a safe and supportive environment</w:t>
      </w:r>
    </w:p>
    <w:p w14:paraId="3C9C0483" w14:textId="77777777" w:rsidR="00C877A3" w:rsidRPr="00457F63" w:rsidRDefault="00C877A3" w:rsidP="00C877A3">
      <w:pPr>
        <w:numPr>
          <w:ilvl w:val="0"/>
          <w:numId w:val="6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Provides information and educatio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n concerning the provider's home</w:t>
      </w:r>
    </w:p>
    <w:p w14:paraId="4865F8B8" w14:textId="77777777" w:rsidR="00C877A3" w:rsidRPr="00457F63" w:rsidRDefault="0031256E" w:rsidP="00C877A3">
      <w:pPr>
        <w:numPr>
          <w:ilvl w:val="0"/>
          <w:numId w:val="6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Certifies t</w:t>
      </w:r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>hat the home is physically and emotionally safe for the clients</w:t>
      </w:r>
    </w:p>
    <w:p w14:paraId="0B03909A" w14:textId="77777777" w:rsidR="00C877A3" w:rsidRPr="00457F63" w:rsidRDefault="0031256E" w:rsidP="00C877A3">
      <w:pPr>
        <w:numPr>
          <w:ilvl w:val="0"/>
          <w:numId w:val="6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7F63">
        <w:rPr>
          <w:rFonts w:ascii="Times New Roman" w:eastAsia="Times New Roman" w:hAnsi="Times New Roman" w:cs="Times New Roman"/>
          <w:sz w:val="24"/>
          <w:szCs w:val="24"/>
        </w:rPr>
        <w:t>Ensures</w:t>
      </w:r>
      <w:proofErr w:type="gramEnd"/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providers are kept informed</w:t>
      </w:r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 xml:space="preserve"> of changes in licensing mandates and policies</w:t>
      </w:r>
    </w:p>
    <w:p w14:paraId="22CF0AAF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BD9B1E3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What types of supports are available to Adult Foster Care providers?</w:t>
      </w:r>
    </w:p>
    <w:p w14:paraId="698A5B41" w14:textId="77777777" w:rsidR="00C877A3" w:rsidRPr="00457F63" w:rsidRDefault="00C877A3" w:rsidP="00C877A3">
      <w:pPr>
        <w:numPr>
          <w:ilvl w:val="0"/>
          <w:numId w:val="7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Each home is assigned a licensing worker</w:t>
      </w:r>
    </w:p>
    <w:p w14:paraId="7BDBCE50" w14:textId="77777777" w:rsidR="00C877A3" w:rsidRPr="00457F63" w:rsidRDefault="0031256E" w:rsidP="00C877A3">
      <w:pPr>
        <w:numPr>
          <w:ilvl w:val="0"/>
          <w:numId w:val="7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Frequent notification of </w:t>
      </w:r>
      <w:proofErr w:type="gramStart"/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>trainings</w:t>
      </w:r>
      <w:proofErr w:type="gramEnd"/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 xml:space="preserve"> via email</w:t>
      </w:r>
    </w:p>
    <w:p w14:paraId="3A86BD03" w14:textId="77777777" w:rsidR="00C877A3" w:rsidRPr="00457F63" w:rsidRDefault="00C877A3" w:rsidP="00C877A3">
      <w:pPr>
        <w:numPr>
          <w:ilvl w:val="0"/>
          <w:numId w:val="7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Many residents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 xml:space="preserve"> have a case manager that </w:t>
      </w:r>
      <w:proofErr w:type="gramStart"/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assist</w:t>
      </w:r>
      <w:proofErr w:type="gramEnd"/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with the implementation of a specific care plan</w:t>
      </w:r>
    </w:p>
    <w:p w14:paraId="5E0DEFEF" w14:textId="77777777" w:rsidR="00C877A3" w:rsidRPr="00457F63" w:rsidRDefault="00C877A3" w:rsidP="00C877A3">
      <w:pPr>
        <w:numPr>
          <w:ilvl w:val="0"/>
          <w:numId w:val="7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Providers are eligible for free Foster Care Liability Insurance offered by the State of Minnesota through the Minnesota Joint Underwriters Association</w:t>
      </w:r>
    </w:p>
    <w:p w14:paraId="57BA877A" w14:textId="77777777" w:rsidR="00184901" w:rsidRPr="00457F63" w:rsidRDefault="00184901" w:rsidP="00184901">
      <w:p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9EC437D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What are the training requirements for Adult Foster Care providers?</w:t>
      </w:r>
    </w:p>
    <w:p w14:paraId="67E5E906" w14:textId="77777777" w:rsidR="00C877A3" w:rsidRPr="00457F63" w:rsidRDefault="00C877A3" w:rsidP="00C877A3">
      <w:pPr>
        <w:numPr>
          <w:ilvl w:val="0"/>
          <w:numId w:val="8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Annual Vulnerable Adult </w:t>
      </w:r>
      <w:proofErr w:type="gramStart"/>
      <w:r w:rsidRPr="00457F63">
        <w:rPr>
          <w:rFonts w:ascii="Times New Roman" w:eastAsia="Times New Roman" w:hAnsi="Times New Roman" w:cs="Times New Roman"/>
          <w:sz w:val="24"/>
          <w:szCs w:val="24"/>
        </w:rPr>
        <w:t>law training</w:t>
      </w:r>
      <w:proofErr w:type="gramEnd"/>
    </w:p>
    <w:p w14:paraId="7A298A7B" w14:textId="77777777" w:rsidR="00C877A3" w:rsidRPr="00457F63" w:rsidRDefault="00C877A3" w:rsidP="00C877A3">
      <w:pPr>
        <w:numPr>
          <w:ilvl w:val="0"/>
          <w:numId w:val="8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Each Adult 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Foster Care provider is required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to attend 12 hours of training per year durin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 xml:space="preserve">g the first 5 years of being licensed. </w:t>
      </w:r>
      <w:proofErr w:type="gramStart"/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Training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 are offered throughout the year on various topics.</w:t>
      </w:r>
    </w:p>
    <w:p w14:paraId="26B281D4" w14:textId="77777777" w:rsidR="00C877A3" w:rsidRPr="00457F63" w:rsidRDefault="0031256E" w:rsidP="00184901">
      <w:pPr>
        <w:numPr>
          <w:ilvl w:val="0"/>
          <w:numId w:val="8"/>
        </w:numPr>
        <w:shd w:val="clear" w:color="auto" w:fill="FFFFFF"/>
        <w:spacing w:after="45" w:line="240" w:lineRule="auto"/>
        <w:ind w:left="12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Foster Care provider</w:t>
      </w:r>
      <w:r w:rsidR="00C877A3" w:rsidRPr="00457F63">
        <w:rPr>
          <w:rFonts w:ascii="Times New Roman" w:eastAsia="Times New Roman" w:hAnsi="Times New Roman" w:cs="Times New Roman"/>
          <w:sz w:val="24"/>
          <w:szCs w:val="24"/>
        </w:rPr>
        <w:t>s licensed over 5 years are required to attend at least 6 hours of training a year.</w:t>
      </w:r>
    </w:p>
    <w:p w14:paraId="292B6048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1981D4" w14:textId="77777777" w:rsidR="00C877A3" w:rsidRPr="00457F63" w:rsidRDefault="00C877A3" w:rsidP="0075271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Am I responsible for residents' medical bills?</w:t>
      </w:r>
    </w:p>
    <w:p w14:paraId="6D96430E" w14:textId="77777777" w:rsidR="00C877A3" w:rsidRPr="00457F63" w:rsidRDefault="00C877A3" w:rsidP="00C877A3">
      <w:pPr>
        <w:shd w:val="clear" w:color="auto" w:fill="FFFFFF"/>
        <w:spacing w:after="9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57F63">
        <w:rPr>
          <w:rFonts w:ascii="Times New Roman" w:eastAsia="Times New Roman" w:hAnsi="Times New Roman" w:cs="Times New Roman"/>
          <w:sz w:val="24"/>
          <w:szCs w:val="24"/>
        </w:rPr>
        <w:t>No, the foster care rate covers room and board, three nutritious meals an</w:t>
      </w:r>
      <w:r w:rsidR="007324DF" w:rsidRPr="00457F63">
        <w:rPr>
          <w:rFonts w:ascii="Times New Roman" w:eastAsia="Times New Roman" w:hAnsi="Times New Roman" w:cs="Times New Roman"/>
          <w:sz w:val="24"/>
          <w:szCs w:val="24"/>
        </w:rPr>
        <w:t xml:space="preserve">d snacks daily, common household items and supervision.  </w:t>
      </w:r>
      <w:r w:rsidRPr="00457F63">
        <w:rPr>
          <w:rFonts w:ascii="Times New Roman" w:eastAsia="Times New Roman" w:hAnsi="Times New Roman" w:cs="Times New Roman"/>
          <w:sz w:val="24"/>
          <w:szCs w:val="24"/>
        </w:rPr>
        <w:t xml:space="preserve">Medical and dental costs are covered through medical assistance or </w:t>
      </w:r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 xml:space="preserve">other insurance </w:t>
      </w:r>
      <w:proofErr w:type="gramStart"/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="0031256E" w:rsidRPr="00457F63">
        <w:rPr>
          <w:rFonts w:ascii="Times New Roman" w:eastAsia="Times New Roman" w:hAnsi="Times New Roman" w:cs="Times New Roman"/>
          <w:sz w:val="24"/>
          <w:szCs w:val="24"/>
        </w:rPr>
        <w:t xml:space="preserve"> the resident and should not be paid by the foster provider. </w:t>
      </w:r>
    </w:p>
    <w:p w14:paraId="38977443" w14:textId="77777777" w:rsidR="00A11951" w:rsidRPr="00457F63" w:rsidRDefault="00A11951">
      <w:pPr>
        <w:rPr>
          <w:rFonts w:ascii="Times New Roman" w:hAnsi="Times New Roman" w:cs="Times New Roman"/>
          <w:sz w:val="24"/>
          <w:szCs w:val="24"/>
        </w:rPr>
      </w:pPr>
    </w:p>
    <w:sectPr w:rsidR="00A11951" w:rsidRPr="00457F63" w:rsidSect="00457F63">
      <w:pgSz w:w="12240" w:h="15840"/>
      <w:pgMar w:top="1440" w:right="1440" w:bottom="1440" w:left="1440" w:header="288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65D4" w14:textId="77777777" w:rsidR="00457F63" w:rsidRDefault="00457F63" w:rsidP="00457F63">
      <w:pPr>
        <w:spacing w:after="0" w:line="240" w:lineRule="auto"/>
      </w:pPr>
      <w:r>
        <w:separator/>
      </w:r>
    </w:p>
  </w:endnote>
  <w:endnote w:type="continuationSeparator" w:id="0">
    <w:p w14:paraId="14BF1934" w14:textId="77777777" w:rsidR="00457F63" w:rsidRDefault="00457F63" w:rsidP="0045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AE9A" w14:textId="77777777" w:rsidR="00457F63" w:rsidRDefault="00457F63" w:rsidP="00457F63">
      <w:pPr>
        <w:spacing w:after="0" w:line="240" w:lineRule="auto"/>
      </w:pPr>
      <w:r>
        <w:separator/>
      </w:r>
    </w:p>
  </w:footnote>
  <w:footnote w:type="continuationSeparator" w:id="0">
    <w:p w14:paraId="709868C1" w14:textId="77777777" w:rsidR="00457F63" w:rsidRDefault="00457F63" w:rsidP="00457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7819"/>
    <w:multiLevelType w:val="multilevel"/>
    <w:tmpl w:val="31B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79B1"/>
    <w:multiLevelType w:val="multilevel"/>
    <w:tmpl w:val="7D0A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A7A70"/>
    <w:multiLevelType w:val="multilevel"/>
    <w:tmpl w:val="CA76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A1CF5"/>
    <w:multiLevelType w:val="hybridMultilevel"/>
    <w:tmpl w:val="4C5CB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031"/>
    <w:multiLevelType w:val="multilevel"/>
    <w:tmpl w:val="76C8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16DA7"/>
    <w:multiLevelType w:val="multilevel"/>
    <w:tmpl w:val="FA0E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37B35"/>
    <w:multiLevelType w:val="multilevel"/>
    <w:tmpl w:val="08D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86A"/>
    <w:multiLevelType w:val="multilevel"/>
    <w:tmpl w:val="0830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C362C"/>
    <w:multiLevelType w:val="multilevel"/>
    <w:tmpl w:val="FE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291414">
    <w:abstractNumId w:val="2"/>
  </w:num>
  <w:num w:numId="2" w16cid:durableId="1858153017">
    <w:abstractNumId w:val="8"/>
  </w:num>
  <w:num w:numId="3" w16cid:durableId="1855992004">
    <w:abstractNumId w:val="0"/>
  </w:num>
  <w:num w:numId="4" w16cid:durableId="119495768">
    <w:abstractNumId w:val="5"/>
  </w:num>
  <w:num w:numId="5" w16cid:durableId="1101267615">
    <w:abstractNumId w:val="6"/>
  </w:num>
  <w:num w:numId="6" w16cid:durableId="780224331">
    <w:abstractNumId w:val="4"/>
  </w:num>
  <w:num w:numId="7" w16cid:durableId="1424108535">
    <w:abstractNumId w:val="7"/>
  </w:num>
  <w:num w:numId="8" w16cid:durableId="700126425">
    <w:abstractNumId w:val="1"/>
  </w:num>
  <w:num w:numId="9" w16cid:durableId="1329669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jPEIqMDN5c9GCLtdbYYSEAPpKjqBr4ORQ6f4nXI9TVUW3mevk+MXKlTzYwWO9GUuP+vjRzTGfb7O3tF5AGrNA==" w:salt="u0Hw4yDU8BJ/bJSWTAOj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A3"/>
    <w:rsid w:val="000B2CE0"/>
    <w:rsid w:val="00180EA7"/>
    <w:rsid w:val="00184901"/>
    <w:rsid w:val="0031256E"/>
    <w:rsid w:val="00457F63"/>
    <w:rsid w:val="0050531D"/>
    <w:rsid w:val="0063125A"/>
    <w:rsid w:val="007324DF"/>
    <w:rsid w:val="0075271E"/>
    <w:rsid w:val="00980505"/>
    <w:rsid w:val="00A11951"/>
    <w:rsid w:val="00C877A3"/>
    <w:rsid w:val="00CF5D3F"/>
    <w:rsid w:val="00F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F3AD"/>
  <w15:docId w15:val="{66619899-E326-411B-8B66-87E64F7A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7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77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questioncount">
    <w:name w:val="questioncount"/>
    <w:basedOn w:val="DefaultParagraphFont"/>
    <w:rsid w:val="00C877A3"/>
  </w:style>
  <w:style w:type="character" w:styleId="Hyperlink">
    <w:name w:val="Hyperlink"/>
    <w:basedOn w:val="DefaultParagraphFont"/>
    <w:uiPriority w:val="99"/>
    <w:semiHidden/>
    <w:unhideWhenUsed/>
    <w:rsid w:val="00C877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63"/>
  </w:style>
  <w:style w:type="paragraph" w:styleId="Footer">
    <w:name w:val="footer"/>
    <w:basedOn w:val="Normal"/>
    <w:link w:val="FooterChar"/>
    <w:uiPriority w:val="99"/>
    <w:unhideWhenUsed/>
    <w:rsid w:val="00457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?id=24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visor.mn.gov/rules/?id=9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692</Words>
  <Characters>3948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Oberg</dc:creator>
  <cp:lastModifiedBy>Bethany Oberg</cp:lastModifiedBy>
  <cp:revision>4</cp:revision>
  <dcterms:created xsi:type="dcterms:W3CDTF">2026-04-29T17:12:00Z</dcterms:created>
  <dcterms:modified xsi:type="dcterms:W3CDTF">2026-04-29T17:15:00Z</dcterms:modified>
</cp:coreProperties>
</file>